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AspenCh1 supp 2025</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After the historical chronology at II. B. consider this topic:</w:t>
      </w:r>
    </w:p>
    <w:p w:rsidR="00000000" w:rsidDel="00000000" w:rsidP="00000000" w:rsidRDefault="00000000" w:rsidRPr="00000000" w14:paraId="00000005">
      <w:pPr>
        <w:keepNext w:val="1"/>
        <w:keepLines w:val="1"/>
        <w:pageBreakBefore w:val="0"/>
        <w:widowControl w:val="0"/>
        <w:pBdr>
          <w:top w:space="0" w:sz="0" w:val="nil"/>
          <w:left w:space="0" w:sz="0" w:val="nil"/>
          <w:bottom w:color="000000" w:space="0" w:sz="8" w:val="single"/>
          <w:right w:space="0" w:sz="0" w:val="nil"/>
          <w:between w:space="0" w:sz="0" w:val="nil"/>
        </w:pBdr>
        <w:shd w:fill="auto" w:val="clear"/>
        <w:spacing w:after="240" w:before="420" w:line="278.00000000000006" w:lineRule="auto"/>
        <w:ind w:left="360" w:right="0" w:hanging="360"/>
        <w:jc w:val="left"/>
        <w:rPr>
          <w:rFonts w:ascii="Palatino" w:cs="Palatino" w:eastAsia="Palatino" w:hAnsi="Palatino"/>
          <w:b w:val="0"/>
          <w:bCs w:val="0"/>
          <w:i w:val="0"/>
          <w:iCs w:val="0"/>
          <w:smallCaps w:val="1"/>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0"/>
          <w:iCs w:val="0"/>
          <w:smallCaps w:val="1"/>
          <w:strike w:val="0"/>
          <w:color w:val="000000"/>
          <w:sz w:val="25"/>
          <w:szCs w:val="25"/>
          <w:u w:val="none"/>
          <w:shd w:fill="auto" w:val="clear"/>
          <w:vertAlign w:val="baseline"/>
          <w:rtl w:val="0"/>
        </w:rPr>
        <w:t xml:space="preserve">Background on the Effects of Globalization</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globalization of the economy influences the movement of people. Trade agreements primarily may focus on products and goods, but their effect on migration is undeniable. Consider the following three perspectives.</w:t>
      </w:r>
    </w:p>
    <w:p w:rsidR="00000000" w:rsidDel="00000000" w:rsidP="00000000" w:rsidRDefault="00000000" w:rsidRPr="00000000" w14:paraId="00000007">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Jeff Faux, The Global Class War — How America’s Bipartisan Elite Lost Our Future — and What It Will Take to Win It Back</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(2006)</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The Continental “We”</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 NAFTA has permanently merged the economic geography of the United States, Canada, and Mexico. Our domestic economy now stretches not just from the Atlantic to the Pacific, but from the Arctic to Chiapas. Despite U.S. homeland security policies, anti-immigrant sentiment in border states, and bursts of nationalism in Mexico and Canada, the toothpaste of NAFTA cannot be put back into the tube. Bankers and brokers now deal with each other in a seamless web of Finance. Car makers and food packagers are dependent on supplies and markets in all three countries. . . .Cultures are mixing, and new common rules will be needed. Like it or not, we are building a continental society.</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Increasingly, the national economies are not simply selling each other goods and services, but producing together. A large share of U.S. trade with Canada and Mexico occurs within the same or an affiliated firm. The auto industry, which makes up some 25 percent of U.S.-Canadian trade, is the most dramatic example. Ford pickup trucks are now assembled in Mexico’s Cuautitlan, with engines coming from Canada’s Windsor, Ontario, and transmissions made in America’s Livonia, Michigan.</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financial markets are perhaps the most fully integrated. Banks, insurance companies, and securities firms operate continent-wide under the protection of NAFTA. Mexican and Canadian firms sell stock on the New York Stock Exchange, and Mexican investors can now buy U.S. stocks for pesos on the Mexican exchange.</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Some eighteen American states now maintain offices in Mexico. Another twelve have offices in Canada. The large Canadian provinces have permanent commercial representation in the United States and Mexico. . .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Twenty years of heavy migration have created formal and informal political integration between Mexicans in the United States and Mexicans in Mexico. The government of Mexico finances an organization called the Institute for Mexicans Abroad in a number of U.S. cities.</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3">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Music, art, sports, popular entertainment, eating habits, and daily routines have become more alike throughout North America. Much, but not all, of this has to do with the appeal of American mass entertainment.</w:t>
      </w:r>
    </w:p>
    <w:p w:rsidR="00000000" w:rsidDel="00000000" w:rsidP="00000000" w:rsidRDefault="00000000" w:rsidRPr="00000000" w14:paraId="00000014">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Laura Carlsen, NAFTA and Immigration: Toward a Workable and Humane Integration</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The Right to Stay Home: Alternatives to Mass Displacement and Forced Migration in North America (Global Exchange, Mar. 2008)</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Introduction</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Every hour, Mexico imports one and a half million dollars’ worth of agricultural and food products, almost all from the United States. In that same hour, thirty people — men, women, and children — leave their homes in the Mexican countryside to take up the most dangerous journey of their lives as migrant workers to the United States. No matter what one’s stance on these two defining characteristics of our age — economic integration and immigration — one thing is absolutely clear: they are related.</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For the past fifteen years, the market-based trade and investment politics embodied in the North American Free trade Agreement (NAFTA) have led to a massive South-North flow of immigrants, while restrictive immigration law in the United Sates create a North-South pushback. Like opposing wind currents that confront forces, the result is a storm. This storm has decimated the Mexican countryside. It has created unemployment, inequality, and insecurity on both sides of the border and left the U.S. immigration system in shambles. Until U.S. trade and immigration politics change direction, the storm will continue to gather force.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Unequal Integration and Borderline</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misnamed North American Free Trade Agreement actually sought to “lock in” a broad range of economic reforms, including tariff elimination but also investment guarantee, a stringent intellectual property regime, and rules limiting government involvement in the economy. In Mexico, many of these reforms began with the 1982 debt crisis, expanded with 1986 GATT membership, and extended when then-president Salinas de Goratari carried out market reforms to prepare the Mexican economy for NAFTA. NAFTA established a new bar for market access and foreign investor guarantees. Tariff barriers were a small part of the overall agreement, since Mexico had already unilaterally lowered many tariffs.</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Up against a compliant Mexican negotiating team committed to the interests of its own economic elite — and behind the backs of both publics — U.S. negotiators achieved terms favorable to large corporations, such as an investment promotion provisions, intellectual property protection, new markets, and access to resources, including cheap labor. The result was a trade agreement that was unprecedented in the world. Even strategic products and services were slated for tariff and barrier eliminations under NAFTA, and the Mexican state relinquished basic development policy tools, such as government procurement preferences to support local industry, management of the basic food chain, and performance requirements for foreign companies regarding technology transfer, backward linkages, or adoption of state-of-the-art environmental practices. Measured by the degree of integration, the NAFTA experiment has been extremely successful. The U.S.-Mexico border has become the most highly integrated region of the world and a laboratory for economic integration — $35 million of goods cross the border every hour. The International Monetary Fund reports that total trade among the three NAFTA countries has more than doubled, while total merchandise trade between the United States and Mexico nearly tripled, from $81.6 in 1993 to $266.6 by 2004.</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But there are serious signs that the experiment is failing. Although the U.S. economy was more than fifteen times larger than Mexico’s and the Mexican economy suffered from major disadvantages, there was no weight given to a need to compensate for the disparities between the two, as was done in the European Union. Despite claims that NAFTA would bring about convergence between the U.S. and Mexican economies, economic disparities between these nations have actually increased over time. As the following graph shows, the enormous gap between Mexican and U.S. GDP per capita has actually widened slightly since NAFTA — the opposite of what was blithely predicted. During the NAFTA period, U.S. GDP per capita rose while the Mexican rate essentially flatlined.</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NAFTA also failed to bring about convergence in wage levels as promised. In 1993 Mexican manufacturing worker earned on average 14.7 percent of the U.S. hourly manufacturing wage; by 2003 the figure had dropped to 11.3 percent. Under NAFTA, the real minimum wage in Mexico has decreased to a level that no longer can sustain workers.</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U.S.-Mexico border in many ways is the eye of the storm referred to earlier. From the Pacific Ocean, through Arizona deserts, to the Gulf of Mexico, the region has become an area of intense interaction between the two countries, but also of increasing violence, hostility, and conflict.</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rapid transformation of the Mexican economy under NAFTA has displaced workers and eroded livelihoods. In a series of socially coerced conversions, farmers and factory workers have become migrants, migrants have been pronounced criminals, and these “criminals” have been forced underground.</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It wasn’t supposed to be like this. The promises of the NAFTA supporters in the early nineties assured citizens of both Mexico and the United States that convergence, employment, and a robust Mexican economy would result in a more prosperous and harmonious North America, where undocumented migration would be a thing of the past. So why does the current situation look so different?</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The Debate: Is NAFTA to blame?</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There is a basic consensus that the post-NAFTA era has not seen significant gains for the Mexican people. For the majority, promises of higher standards of living have not been borne out. Instead, Mexico faces an employment crisis and flat real wages, price hikes — especially for basic goods, economic insecurity, and rising inequality.</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There is an ongoing debate over to what degree these evident economic woes can be attributed to NAFTA. Since economic restructuring measures predated NAFTA and domestic policy plays a role, it is not possible to completely untangle the causes of the current situation. But the main point to bear in mind is that NAFTA was not just a trade policy for Mexico. It was the cornerstone of its economic restructuring, designed to lock in an export-oriented, market economy. After NAFTA, Mexico went on to sign forty-two trade agreements modeled on NAFTA, making it the free trade champion of the world. However, these are largely irrelevant given that 90 percent of Mexico’s trade is with just one country, the United States.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Mexico bet the house on export-led open-market economic development tied to the U.S. economy. Exports grew, but who really benefited? Only 1.2 percent of Mexico’s three million registered businesses engage in non-oil exports. The Ministry of the Economy reports that in 2005 37,244 businesses exported under NAFTA and divided among themselves $186 billion dollars reported for that year. Even within this small group, benefits concentrate in a handful: 601 companies — 1.6 percent of exporters and only 0.02 percent of all businesses, mostly transnationals — receive 76.3 percent of the export value, or $142 billion. Nice work, if you can get it.</w:t>
      </w:r>
    </w:p>
    <w:p w:rsidR="00000000" w:rsidDel="00000000" w:rsidP="00000000" w:rsidRDefault="00000000" w:rsidRPr="00000000" w14:paraId="00000025">
      <w:pPr>
        <w:keepNext w:val="0"/>
        <w:keepLines w:val="0"/>
        <w:pageBreakBefore w:val="0"/>
        <w:widowControl w:val="0"/>
        <w:pBdr>
          <w:top w:space="0" w:sz="0" w:val="nil"/>
          <w:left w:space="0" w:sz="0" w:val="nil"/>
          <w:bottom w:color="000000" w:space="0" w:sz="8" w:val="single"/>
          <w:right w:space="0" w:sz="0" w:val="nil"/>
          <w:between w:space="0" w:sz="0" w:val="nil"/>
        </w:pBdr>
        <w:shd w:fill="auto" w:val="clear"/>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To benefit these lucky few Mexico gave up its right to adopt policies to support sectors that provided strategic services to the country but were unable to compete on the world market.</w:t>
      </w:r>
    </w:p>
    <w:p w:rsidR="00000000" w:rsidDel="00000000" w:rsidP="00000000" w:rsidRDefault="00000000" w:rsidRPr="00000000" w14:paraId="00000026">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Sandra Polaski, 12 Years of the North American Free Trade Agreement</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CQ Congressional Testimony (Sept. 11, 2006)</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the case of NAFTA, it is very instructive to look at the agreement’s employment consequences, because that is one of the most important channels through which NAFTA has affected the United States. I am speaking not about the employment and income effects within the United States itself, because these effects were very small, given the enormous difference in the size and comparative advantages of the U.S. and Mexico. Rather, it is the employment and income effects of NAFTA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in Mexico</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that are key to understanding several related policy challenges that now confront the U.S., and the Congress in particular. In Mexico, NAFTA was a key contributing factor to a series of changes that have had deep and important consequences for migration, economic growth and political stability.</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NAFTA has produced disappointing results for job growth in Mexico. Data and the difficulty of isolating NAFTA effects from other causes preclude an exact tally, but it is clear that overall, the jobs created in manufacturing have not kept pace with jobs lost in the agricultural sector.</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There has also been a decline in non-maquiladora manufacturing since NAFTA took effect in 1994. Employment in the non-maquiladora manufacturing sector stood at about 1.4 million in January 1994, declined sharply during the peso crisis, and then began a brief recovery before declining again over the past six years. In June 2006 there were about 130,000 fewer jobs than when NAFTA took effect.</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pattern in the maquiladora sector has been more positive. Maquiladora assembly plants added about 800,000 jobs between NAFTA’s enactment in January 1994 and the sector’s peak employment in early 2001. The plants then shed about 125,000 jobs through January 2006. Currently, maquiladoras employ about 700,000 more workers than they did before NAFTA.</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Adding the results for the two manufacturing sectors in Mexico shows a net gain of about 570,000 manufacturing jobs between January 1994 and June 2006.</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By contrast, Mexican agriculture has been a net loser in trade with the United States, and employment in the sector has declined sharply. U.S. corn exports in particular have depressed corn prices and agricultural employment in Mexico. The rural poor have borne the brunt of adjustment to NAFTA.</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Agricultural employment in Mexico stood at about 8.1 million in the early 1990s, just before NAFTA came into force. It actually increased slight[ly] in the aftermath of the peso crisis, when widespread unemployment led some workers back to the farm. Employment in the sector then began a downward trend, with about 6 million employed in the first quarter of 2006, a loss of over 2 million jobs compared to the pre-NAFTA levels. While not all of that reduction can be attributed to NAFTA, other forces that affected trade, such as the sharp devaluation of the peso during 1994-1995, pushed in the opposite direction, toward greater growth of Mexican exports over imports. In fact, the height of the peso crisis in 1995 was the single post-NAFTA year in which Mexico had a surplus in its agricultural trade with the United States, and agricultural employment did improve modestly for a few seasons thereafter. However, once the peso stabilized, the agricultural trade balance again turned against Mexico and agricultural employment resumed its decline.</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experience of Mexico confirms the prediction of trade theory, that there will be winners and losers from trade. The losers may be as numerous as, or even more numerous than, the winners, especially in the short-to-medium term. In Mexico, more farmers lost than gained from NAFTA-induced changes.</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34">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It is not in the United States’s strategic interest to demonstrate that free trade agreements between the U.S. and developing countries do not produce clear advantages for the poorer trading partner.. . .</w:t>
      </w:r>
    </w:p>
    <w:p w:rsidR="00000000" w:rsidDel="00000000" w:rsidP="00000000" w:rsidRDefault="00000000" w:rsidRPr="00000000" w14:paraId="00000035">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480" w:line="278.00000000000006" w:lineRule="auto"/>
        <w:ind w:left="0" w:right="0" w:firstLine="0"/>
        <w:jc w:val="center"/>
        <w:rPr>
          <w:rFonts w:ascii="Palatino" w:cs="Palatino" w:eastAsia="Palatino" w:hAnsi="Palatino"/>
          <w:b w:val="1"/>
          <w:bCs w:val="1"/>
          <w:i w:val="0"/>
          <w:iCs w:val="0"/>
          <w:smallCaps w:val="1"/>
          <w:strike w:val="0"/>
          <w:color w:val="000000"/>
          <w:sz w:val="24"/>
          <w:szCs w:val="24"/>
          <w:u w:val="none"/>
          <w:shd w:fill="auto" w:val="clear"/>
          <w:vertAlign w:val="baseline"/>
        </w:rPr>
      </w:pPr>
      <w:r w:rsidDel="00000000" w:rsidR="00000000" w:rsidRPr="00000000">
        <w:rPr>
          <w:rFonts w:ascii="Palatino" w:cs="Palatino" w:eastAsia="Palatino" w:hAnsi="Palatino"/>
          <w:b w:val="1"/>
          <w:bCs w:val="1"/>
          <w:i w:val="0"/>
          <w:iCs w:val="0"/>
          <w:smallCaps w:val="1"/>
          <w:strike w:val="0"/>
          <w:color w:val="000000"/>
          <w:sz w:val="24"/>
          <w:szCs w:val="24"/>
          <w:u w:val="none"/>
          <w:shd w:fill="auto" w:val="clear"/>
          <w:vertAlign w:val="baseline"/>
          <w:rtl w:val="0"/>
        </w:rPr>
        <w:t xml:space="preserve">NOTES AND QUESTIONS</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How would you describe the effects of globalization on the movement of people?</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12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If a trade agreement such as NAFTA causes job displacement in a particular country, should the trading partners bear some responsibility to aid those workers who have lost their jobs?</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How else might globalization factor into immigration policies?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III. Racialization of Immigration Law</w:t>
      </w:r>
    </w:p>
    <w:p w:rsidR="00000000" w:rsidDel="00000000" w:rsidP="00000000" w:rsidRDefault="00000000" w:rsidRPr="00000000" w14:paraId="0000003C">
      <w:pPr>
        <w:rPr>
          <w:rFonts w:ascii="Palatino" w:cs="Palatino" w:eastAsia="Palatino" w:hAnsi="Palatino"/>
          <w:sz w:val="21"/>
          <w:szCs w:val="21"/>
        </w:rPr>
      </w:pPr>
      <w:r w:rsidDel="00000000" w:rsidR="00000000" w:rsidRPr="00000000">
        <w:rPr>
          <w:rtl w:val="0"/>
        </w:rPr>
        <w:t xml:space="preserve">After the Notes and Questions discussion the </w:t>
      </w:r>
      <w:r w:rsidDel="00000000" w:rsidR="00000000" w:rsidRPr="00000000">
        <w:rPr>
          <w:i w:val="1"/>
          <w:iCs w:val="1"/>
          <w:rtl w:val="0"/>
        </w:rPr>
        <w:t xml:space="preserve">De Reynoso </w:t>
      </w:r>
      <w:r w:rsidDel="00000000" w:rsidR="00000000" w:rsidRPr="00000000">
        <w:rPr>
          <w:rtl w:val="0"/>
        </w:rPr>
        <w:t xml:space="preserve">case at page 24, consider this case.</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De Avila v. Civiletti</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643 F.2d 471 (7th Cir. 1981)</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This is an appeal by the United States Government and by the plaintiffs, a group of Mexican visa applicants, from an amended final order and permanent injunction against the application by the State Department of its interpretation of the [1976 Amendments].</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1976 amendments imposed a limitation of 20,000 per fiscal year on immigration from any Western Hemisphere country. The government’s fiscal year runs from October 1 to September 30, but the 1976 amendments did not become effective until January 1, 1977, after one full quarter of fiscal year 1977 had expired. During that first quarter, 14,203 visas were issued to Mexicans pursuant to the immigration system which prevailed in the Western Hemisphere before the new law became effective. The State Department nevertheless charged those visas against the newly-imposed national quota of 20,000, leaving only 5797 visas available for Mexican immigrants between January 1 and September 30, 1977, of which 5435 were actually issued.</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 group of Mexican visa applicants and their sponsoring relatives (“the applicants”) filed a class action in the United States District Court for the Northern District of Illinois, claiming that the State Department’s application of the per country quota resulted in an underallocation of visas to them in fiscal year 1977, in that the first quarter visas should not have been charged against Mexico’s annual allotment. The applicants sought “recapture” of 13,366 unissued visas for the benefit of class members currently on the immigrant waiting list.</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Immigration System Prior to the 1976 Amendments</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To understand the action of the State Department and its adoption of the challenged construction of the 20,000 per country limit, it is necessary to appreciate the context of the problem through a brief history of the provisions of the Immigration and Nationality Act, 8 U.S.C. §§1101 et seq. (“the Act”) both before and immediately after 6 the effective date of the 1976 amendments thereto, January 1, 1977. Prior to that date, immigration to this country was governed essentially by the Act of October 3, 1965, 79 Stat. 911-922 (“the 1965 amendments”) which amended the basic Immigration and Nationality Act of 1952. Under the 1965 amendments what amounted to a dual system applied to immigration from the Eastern and Western Hemispheres respectively.</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Immigration from the East was subject to an overall annual limitation of 170,000, 8 U.S.C. §1151(a) (1970), while the annual fiscal year quota from the Western Hemisphere was 120,000. Section 21(e) of the 1965 amendments. The law also accorded different preferences to eight categories of Eastern Hemisphere visa applicants according to their familial relationship with United States citizens or permanent residents, possession of certain professional skills, or refugee status. 8 U.S.C. §1153(a)(1)-(8). 7 Each of seven so-called “preference” categories was allocated a percentage of the overall hemispheric quota, and those preferences based on family ties to United States citizens or permanent residents were also entitled to unused visas from a higher category. The eighth, so-called “non-preference” category received only visas unused by the seven preference groups. In addition to the 170,000 limit on immigration from the Eastern Hemisphere as a whole, the 1965 amendments provided that the number of immigrants from any Eastern country not exceed 20,000 per fiscal year. 8 U.S.C. §1152(a) (1970).</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provisions governing immigration from Western Hemisphere nations were markedly different from those in effect with respect to the rest of the world. Although immigration from this hemisphere was limited to 120,000 per fiscal year, this limitation was not incorporated into the Immigration and Nationality Act itself. Moreover, Western Hemisphere immigrants were defined as “special immigrants,” 8 U.S.C. §1101(a)(27) (1970), and were not subject to any annual per country quota. 8 U.S.C. §1153(a) (1970). In the absence of such a limitation, Mexico annually accounted for 40-45,000 immigrants per year, or upwards of a third of the overall hemispheric quota.</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eight category preference system set out in section 1153(a) of the Act did not apply to Western Hemisphere visa applicants either. Instead, such applicants were required to obtain a labor certification from the United States Secretary of Labor, or show exemption from this requirement based on certain familial relationships to United States citizens or permanent residents. 8 U.S.C. §1182(a)(14) (1970). Congress did not establish a system for processing special immigrants and the State Department administratively established the policy of processing such visa applicants in strict chronological order according to the “priority date” on which they had either obtained a labor certification or submitted documentation showing exemption therefrom.</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Changes by the 1976 Amendments</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Immigration and Nationality Act Amendments of 1976 wrought a number of changes in the Act. In effect, the special legislation that had governed the Western Hemisphere was repealed, and Western Hemisphere immigrants were made subject to the same immigration system that had governed the rest of the world since 1965. The most significant change that the 1976 amendments accomplished was the imposition on the Western Hemisphere of the 20,000 limitation on immigration from any one country and along with it the eight category preference system theretofore applicable only in the Eastern Hemisphere. While the 120,000 Western Hemispheric quota remained in effect, section 1152(a) of the Act, now applicable to both hemispheres, provided that:</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(T)he total number of immigrant visas. . .made available to natives of any single foreign nation under paragraphs (1) through (8) of section 1153(a) of this title shall not exceed 20,000 in any fiscal year.</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8 U.S.C. §1152(a) (1976).</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This dispute arises from the fact that section 1152(a) did not indicate whether visas issued to special immigrants in the first quarter of fiscal year 1977 were to be counted towards the 20,000 quota. The 14,203 visas issued to Mexicans in that time had clearly not been “made available. . .under. . . section 1153(a)” as that provision was not yet in effect with respect to the Western Hemisphere. The State Department nevertheless adopted a policy (the “cross-systems charging policy”) of counting the first quarter visas towards each Western Hemisphere country’s national quota. As a result, only 5797 visas were allocated to Mexico in the final three quarters of the fiscal year, of which only 5435 were actually issued. Due to administrative difficulties in implementing the new system in the first year of its operation, actual visa issuances in the Western Hemisphere in fiscal year 1977 fell short by 13,366 of the hemispheric quota. It was these unissued visas that the plaintiffs sought to recapture in their lawsuit.</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Discussion</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imposition on Western Hemisphere countries after the beginning of the fiscal year of a quota manifestly intended to apply on a full fiscal-year basis created an ambiguity in the Act as to visas issued in the first quarter of fiscal year 1977. As the district court noted in its opinion, three solutions to this ambiguity are possible. The approach adopted by the State Department was to charge all visas issued in the fiscal year against the quota, despite the absence of an explicit mandate for doing so. The plaintiffs, on the other hand, advocate giving no effect at all to the quota with respect to the first quarter of the fiscal year. In their view, a full 20,000 visas should have been issued to Mexicans in the last three quarters of fiscal year 1977. The third resolution, and the one adopted by the district court, was to apply the 20,000 quota on a pro rata basis over the portion of fiscal year 1977 during which the 1976 amendments were effective, so that 3/4 of 20,000, or 15,000 visas would be allocated to Mexicans during the last three quarters of the fiscal year.</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choosing among these different approaches, it becomes necessary to ascertain and effectuate the legislative purpose in enacting the 1976 amendments. To that end, it is important to note that the interpretation of the State Department, the agency statutorily entrusted with administration of the Immigration and Nationality Act, 8 U.S.C. §1104, is entitled to substantial deference, and should be followed “unless there are compelling indications that it is wrong.”. .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State Department’s responsibility for administering the Immigration and Nationality Act includes the provisions relating to numerical limitations on immigration. 8 U.S.C. §§1104, 1152(b) &amp; (d), 1153(e). In construing its obligations the State Department relies primarily on the legislative history of the 1976 amendments to support its cross-systems charging policy. It is clear from the following language in House Report No. 94-1553, U.S. Code Cong. &amp; Admin. News 1976, 6073, which accompanied the bill, that Congress intended to eliminate disparities in immigration matters among Western Hemisphere countries and between the two hemispheres, ensuring that all nations be treated alike:</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During the 94th Congress, a general consensus has been reached that the 20,000 per country limit should be extended to all countries of the world, including those geographically contiguous to the United States. Such a provision is included in the Administration’s immigration bill. H.R. 10323, in contrast to Administration support during the 93rd Congress of a 35,000 allotment for the contiguous countries.. .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decision by this Committee to limit all countries to 20,000 has been based primarily on the desire that this legislation mark the final end of an immigrant quota system based on nationality, whether the rationale behind it be the alleged national origins of our citizenry, as it was in the past, or geographical proximity the argument previously advanced for preferential treatment of Canada and Mexico. The proposed legislation rejects the concept of a “special relationship” between this country and certain other countries as a basis for our immigration law, in favor of a uniform treatment for all countries. .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considering an earlier bill to amend the Immigration and Nationality Act, the House rejected a provision giving Mexico a 35,000 annual limitation, as opposed to the generally applicable 20,000 limit. 119 Cong. Rec. 31456-64. The State Department thus argues that it would have violated the clearly-expressed Congressional intent that immigration from no country exceed 20,000 per year, if it had allocated more than 5797 visas to Mexicans in the final three quarters of fiscal year 1977.</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plaintiffs, in support of their position, cite the plain language of section 1152(a), which limits to 20,000 per year only those visas issued pursuant to section 1153(a). They point out that the 14,304 visas issued to Mexicans in the first quarter of fiscal year 1977 were not made available pursuant to section 1153(a), as that provision was not in effect until January 1, 1977, after the first quarter of the fiscal year had expired. Invoking the maxim of statutory interpretation expressio unius est exclusio alterius, they contend that by mentioning only visas issued pursuant to §1153(a), Congress meant to exclude from the 20,000 quota visas issued under the pre-1976 amendments system. They further contend that the State Department’s cross-systems charging policy gave retroactive effect to the quota by applying it to visas issued before its effective date, interfering with their “settled expectations” and “antecedent rights” to the issuance of visas. Citing settled immigration practice that numerical limits on visa issuance are also mandatory levels that must be reached, Silva v. Bell, 605 F.2d 978, 988 (7th Cir. 1979), the applicants claim that they were entitled to the issuance of a full 20,000 visas in that portion of fiscal year 1977 during which the 1976 amendments were in effect.</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district court held that the State Department’s interpretation of the 1976 amendments was “both unreasonable and contrary to Congressional intent”, stressing that the 14,203 visas issued to Mexicans in the first quarter of fiscal year 1977 were not required by the literal language of section 1152(a) to be counted towards the national quotas. The district court reasoned that the quota applied only to those visas “made available” under the preference system as applied to Western Hemisphere immigrants for the first time on January 1, 1977, and thus did not include visas issued between October 1, 1976 and December 31, 1976. Acknowledging that the 1976 amendments’ legislative history indicated Congress’ desire to limit all countries to 20,000 visas annually, the court concluded that this objective had no effect prior to the amendments’ effective date, January 1, 1977. In its view, the cross-systems charging policy amounted to an impermissible retroactive application of the quota.</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Where the problem of interpretation concerns a situation apparently not foreseen by the legislators, it is appropriate to consult those areas covering the same subject where expression of the legislative intent is clear, and extrapolate therefrom. Montana Power Co. v. FPC, 144 U.S. App. D.C. 263, 445 F.2d 739 (D.C. Cir. 1970) (en banc), cert. denied, 400 U.S. 1013, 91 S. Ct. 566, 27 L. Ed. 2d 627 (1971). We believe Congress clearly intended that the 1976 amendments impose the same ceiling on immigration from all countries whether from the Eastern or Western Hemisphere. H.R. Rep. No. 94-1553, supra. By the time the State Department confronted the problem of applying the 1976 amendments to Western Hemisphere immigrants in mid-fiscal year, a large waiting list of applicants had developed, and it had no reason to expect that the 120,000 hemispheric quota would not be reached regardless of which interpretation it adopted. In a situation like this, where there were apparently not enough visas to satisfy Western Hemisphere demand, the State Department had to formulate a policy consistent with the aim of equalizing treatment of all countries. The approach it adopted avoided issuing more than 20,000 visas to nationals of any one country within the fiscal year, unlike that of either plaintiffs or the district court.</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Counting visas issued during the first quarter of fiscal year 1977, before the effective date of the 1976 amendments, did not amount to a retroactive application of the quota.</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Visa applicants have no vested right in the issuance of a visa. Knauff v. Shaughnessy, 338 U.S. 537, 542, 70 S. Ct. 309, 312, 94 L. Ed. 317 (1950); compare Greene v. United States, 376 U.S. 149, 159-160, 84 S. Ct. 615, 621-622, 11 L. Ed. 2d 576 (1964). Since the cross-systems charging policy had no effect on visas already issued, it did not interfere with the “settled expectations” of any person. The State Department’s application of the 1976 amendments is not rendered retroactive “merely because the facts or requisites upon which its subsequent action depends. . .are drawn from a time antecedent to the enactment.”. .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dispute in this case arises from the gap in the 1976 amendments caused by Congress’ inadvertent failure to require that Western Hemisphere visas issued in the first quarter of fiscal year 1977 be charged against the 20,000 quota. The result of such a mistake should not be given effect when to do so would pervert the manifest purpose of the statute as a whole.. . .A literal interpretation of the 1976 amendments must yield to clear contrary evidence of Congressional intent. . .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We conclude that the State Department’s cross-systems charging policy was both reasonable and consistent with the Congressional desire to eliminate disparities in immigration among all countries. To give effect to that objective, it was reasonable for the State Department to count visas issued in the first quarter of fiscal year 1977, although they had not been “made available” under paragraphs (1) through (8) of section 1153(a), which was not in effect with respect to the Western Hemisphere until January 1, 1977.</w:t>
      </w:r>
    </w:p>
    <w:p w:rsidR="00000000" w:rsidDel="00000000" w:rsidP="00000000" w:rsidRDefault="00000000" w:rsidRPr="00000000" w14:paraId="0000005C">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20" w:line="278.00000000000006" w:lineRule="auto"/>
        <w:ind w:left="0" w:right="0" w:firstLine="0"/>
        <w:jc w:val="center"/>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5E">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480" w:line="278.00000000000006" w:lineRule="auto"/>
        <w:ind w:left="0" w:right="0" w:firstLine="0"/>
        <w:jc w:val="center"/>
        <w:rPr>
          <w:rFonts w:ascii="Palatino" w:cs="Palatino" w:eastAsia="Palatino" w:hAnsi="Palatino"/>
          <w:b w:val="1"/>
          <w:bCs w:val="1"/>
          <w:i w:val="0"/>
          <w:iCs w:val="0"/>
          <w:smallCaps w:val="1"/>
          <w:strike w:val="0"/>
          <w:color w:val="000000"/>
          <w:sz w:val="24"/>
          <w:szCs w:val="24"/>
          <w:u w:val="none"/>
          <w:shd w:fill="auto" w:val="clear"/>
          <w:vertAlign w:val="baseline"/>
        </w:rPr>
      </w:pPr>
      <w:r w:rsidDel="00000000" w:rsidR="00000000" w:rsidRPr="00000000">
        <w:rPr>
          <w:rFonts w:ascii="Palatino" w:cs="Palatino" w:eastAsia="Palatino" w:hAnsi="Palatino"/>
          <w:b w:val="1"/>
          <w:bCs w:val="1"/>
          <w:i w:val="0"/>
          <w:iCs w:val="0"/>
          <w:smallCaps w:val="1"/>
          <w:strike w:val="0"/>
          <w:color w:val="000000"/>
          <w:sz w:val="24"/>
          <w:szCs w:val="24"/>
          <w:u w:val="none"/>
          <w:shd w:fill="auto" w:val="clear"/>
          <w:vertAlign w:val="baseline"/>
          <w:rtl w:val="0"/>
        </w:rPr>
        <w:t xml:space="preserve">NOTES AND QUESTIONS</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How many visas did Mexicans lose as a result in this case?</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12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What is the effect of the 1976 immigration law changes on visa availability for Mexican immigrants?</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V. Plenary power</w:t>
      </w:r>
    </w:p>
    <w:p w:rsidR="00000000" w:rsidDel="00000000" w:rsidP="00000000" w:rsidRDefault="00000000" w:rsidRPr="00000000" w14:paraId="00000063">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Kevin R. Johson, The Intersection of Race and Class in U.S. Immigration Law and Enforcement</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72 Law &amp; Contemp. Probs. 1 (2009)</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One peculiar feature of the U.S. immigration laws, which has facilitated the promulgation of harsh and extreme immigration laws and policies over the course of U.S. history, warrants comment: Unlike mainstream constitutional law in which the courts are responsible for vindicating the rights of discrete and insular minorities, the courts generally defer to the immigration decisions of the legislative and executive branches of the U.S. government, which are said to possess “plenary power” over immigration matters, from the criteria for admission to those for deportation. Through invocation of this doctrine, the courts routinely permit “aliens” to be expressly disfavored under the immigration laws in ways that U.S. citizens</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including the poor and racial minorities</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could never be.</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For example, U.S. immigration law on its face discriminates against poor immigrants, with rarely a reservation raised; in contrast, ordinary U.S. domestic law cannot infringe upon the right of poor citizens to travel (at least domestically). Immigration law has permitted race and class to operate in ways that are truly extraordinary in U.S. law</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almost always to the detriment of immigrants. The reason is the plenary-power doctrine, which remains the law of the land even though the Supreme Court forged it out of whole cloth initially to shield blatantly discriminatory laws from judicial review. The doctrine creates a deep and wide gulf between ordinary constitutional law and the constitutional law of immigration. The Court continues to invoke a doctrine that academics, who contend that ordinary constitutional principles should apply to the review of the U.S. immigration laws as they generally do to other bodies of law, most simply love to hate.</w:t>
      </w:r>
    </w:p>
    <w:p w:rsidR="00000000" w:rsidDel="00000000" w:rsidP="00000000" w:rsidRDefault="00000000" w:rsidRPr="00000000" w14:paraId="00000067">
      <w:pPr>
        <w:keepNext w:val="0"/>
        <w:keepLines w:val="0"/>
        <w:pageBreakBefore w:val="0"/>
        <w:widowControl w:val="0"/>
        <w:pBdr>
          <w:top w:space="0" w:sz="0" w:val="nil"/>
          <w:left w:space="0" w:sz="0" w:val="nil"/>
          <w:bottom w:color="000000" w:space="0" w:sz="8" w:val="single"/>
          <w:right w:space="0" w:sz="0" w:val="nil"/>
          <w:between w:space="0" w:sz="0" w:val="nil"/>
        </w:pBdr>
        <w:shd w:fill="auto" w:val="clear"/>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bottom line is that the proverbial deck is stacked against potential immigrants from the developing world. U.S. immigration law presumes that “aliens” cannot enter the United States and the burden is on the noncitizen to defeat the presumption and establish that all of the eligibility requirements for a visa have been satisfied. Available immigrant visas are generally directed toward noncitizens with family members in this country and toward highly skilled workers. Various exclusions and other features of U.S. immigration law make it difficult for noncitizens of limited education and moderate means from the developing world</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even if eligible for a family, employment, or other immigrant visa</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to immigrate lawfully to the United States. Due to the plenary-power doctrine, the courts let all such laws stand.</w:t>
      </w:r>
    </w:p>
    <w:p w:rsidR="00000000" w:rsidDel="00000000" w:rsidP="00000000" w:rsidRDefault="00000000" w:rsidRPr="00000000" w14:paraId="00000068">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Kevin R. Johnson, Opening the Floodgates: Why America Needs to Rethink Its Borders and Immigration Laws</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(2007)</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Justice Felix Frankfurter articulated the plenary power doctrine in terms that should make those committed to justice and equality under the law shudder: “[W]hether immigration laws have been crude and cruel, whether they may have reflected xenophobia in general or anti-Semitism or anti-Catholicism, the responsibility belongs to Congress.”</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plenary power doctrine means that Congress has virtually unfettered discretion to exclude immigrants; the doctrine allows for a natural defense for closed borders.</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[Chinese first emigrated to the United States in large numbers in 1849, when they joined thousands of Americans and other foreign fortune seekers in the “gold rush” to the American West. By 1852, there were approximately 25,000 Chinese in California. With the federal government’s blessing, more entered in the 1860s, when they provided cheap labor to complete the nation’s railroad system. By the time of the 1880 census, 105,465 Chinese were counted in the United States. Concentrated in the West, Chinese made up 8.7 percent of California’s population.</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As the numbers of Chinese grew and labor needs subsided, California repeatedly tried to regulate their activities, as did some other Western states. Under California law, Chinese were subject to entry taxes and discriminatory regulation of their businesses, they were not allowed to vote or testify in court, and their children were prohibited from attending school with white children. Most of these state and local statutes were declared invalid by federal courts.</w:t>
      </w:r>
    </w:p>
    <w:p w:rsidR="00000000" w:rsidDel="00000000" w:rsidP="00000000" w:rsidRDefault="00000000" w:rsidRPr="00000000" w14:paraId="0000006F">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But beginning in the 1870s, California’s demand for restrictive legislation began to have a national impact. In an unprecedented series of laws in 1882, 1884, 1888, 1892, 1902, and 1904, Congress enacted the “Chinese exclusion laws,” designed to regulate, deter, and ultimately prevent further Chinese immigration to the United States. The 1882 legislation imposed a ten-year suspension on immigration by Chinese laborers and restricted the ability of Chinese residing in the United States to re-enter after a trip abroad. These restrictions were refined and expanded in subsequent enactments. They quickly had the desired effect; in 1887, Chinese immigration fell to a low of ten admitted Chinese immigrants. However, these laws were not without controversy. With the case of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Chae Chan Ping v. United States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the Chinese exclusion laws became the first federal immigration laws to be subject to judicial scrutiny.]</w:t>
      </w:r>
    </w:p>
    <w:p w:rsidR="00000000" w:rsidDel="00000000" w:rsidP="00000000" w:rsidRDefault="00000000" w:rsidRPr="00000000" w14:paraId="00000070">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Mathews v. Diaz</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426 U.S. 67 (1976)</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Mr. Justice </w:t>
      </w:r>
      <w:r w:rsidDel="00000000" w:rsidR="00000000" w:rsidRPr="00000000">
        <w:rPr>
          <w:rFonts w:ascii="Palatino" w:cs="Palatino" w:eastAsia="Palatino" w:hAnsi="Palatino"/>
          <w:b w:val="0"/>
          <w:bCs w:val="0"/>
          <w:i w:val="0"/>
          <w:iCs w:val="0"/>
          <w:smallCaps w:val="1"/>
          <w:strike w:val="0"/>
          <w:color w:val="000000"/>
          <w:sz w:val="21"/>
          <w:szCs w:val="21"/>
          <w:u w:val="none"/>
          <w:shd w:fill="auto" w:val="clear"/>
          <w:vertAlign w:val="baseline"/>
          <w:rtl w:val="0"/>
        </w:rPr>
        <w:t xml:space="preserve">Stevens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delivered the opinion of the Court.</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question presented by the Secretary’s appeal is whether Congress may condition an alien’s eligibility for participation in a federal medical insurance program on continuous residence in the United States for a five-year period and admission for permanent residence. The District Court held that the first condition was unconstitutional and that it could not be severed from the second. Since we conclude that both conditions are constitutional, we reverse.</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Each of the appellees is a resident alien who was lawfully admitted to the United States less than five years ago. Appellees Diaz and Clara are Cuban refugees who remain in this country at the discretion of the Attorney General; appellee Espinosa has been admitted for permanent residence. All three are over 65 years old and have been denied enrollment in the Medicare Part B supplemental medical insurance program established by 1831 et seq. of the Social Security Act of 1935, 49 Stat. 620, as added, 79 Stat. 301, and as amended, 42 U.S.C. 1395j et seq. (1970 ed. and Supp. IV). They brought this action to challenge the statutory basis for that denial. Specifically, they attack 42 U.S.C. 1395o(2) (1970 ed., Supp. IV), which grants eligibility to resident [citizens] who are 65 or older but denies eligibility to comparable aliens unless they have been admitted for permanent residence and also have resided in the United States for at least five years. Appellees Diaz and Clara meet neither requirement; appellee Espinosa meets only the first.</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August 18, 1972, Diaz filed a class action complaint in the United States District Court for the Southern District of Florida alleging that his application for enrollment had been denied on the ground that he was not a citizen and had neither been admitted for permanent residence nor resided in the United States for the immediately preceding five years. He further alleged that numerous other persons had been denied enrollment in the Medicare Part B program for the same reasons. He sought relief on behalf of a class of persons who have been or will [be] denied enrollment in the Medicare insurance program for failure to meet the requirements of 42 U.S.C. 1395o(2) (1970 ed., Supp. IV). Since the complaint prayed for a declaration that 1395o(2) was unconstitutional and for an injunction requiring the Secretary to approve all applicants who had been denied eligibility solely for failure to comply with its requirements, a three-judge court was constituted.</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September 28, 1972, the District Court granted leave to add Clara and Espinosa as plaintiffs and to file an amended complaint. That pleading alleged that Clara had been denied enrollment for the same reasons as Diaz, but explained that Espinosa, although a permanent resident since 1971, had not attempted to enroll because he could not meet the durational residence requirement, and therefore any attempt would have been futile. The amended complaint sought relief on behalf of a subclass represented by Espinosa</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that is, aliens admitted for permanent residence who have been or will be denied enrollment for failure to meet the five-year continuous residence requirement</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as well as relief on behalf of the class represented by Diaz and Clara.</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October 24, 1972, the Secretary moved to dismiss the complaint on the ground, among others, that the District Court lacked jurisdiction over the subject matter because none of the plaintiffs had exhausted his administrative remedies under the Social Security Act. Two days later, on October 26, 1972, Espinosa filed his application for enrollment with the Secretary. He promptly brought this fact to the attention of the District Court, without formally supplementing the pleadings.</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None of the appellees completely exhausted available avenues for administrative review. Nevertheless, the Secretary acknowledged that the applications of Diaz and Clara raised no disputed issues of fact and therefore the interlocutory denials of their applications should be treated as final for the purpose of this litigation. This satisfied the jurisdictional requirements of 42 U.S.C. 405(g). Weinberger v. Salfi, 422 U.S. 749, 763-767; Weinberger v. Wiesenfeld, 420 U.S. 636, 641 n.8. The Secretary did not make an equally unambiguous concession with respect to Espinosa, but in colloquy with the court he acknowledged that Espinosa had filed an application which could not be allowed under the statute. The District Court overruled the Secretary’s motion to dismiss and decided the merits on cross-motions for summary judgment.</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District Court held that the five-year residence requirement violated the Due Process Clause of the Fifth Amendment and that since it could not be severed from the requirement of admission for permanent residence, the alien-eligibility provisions of 1395o(2)(B) were entirely unenforceable. Diaz v. Weinberger, 361 F. Supp. 1 (1973). The District Court reasoned that “even though fourteenth amendment notions of equal protection are not entirely congruent with fifth amendment concepts of due process,” id., at 9, the danger of unjustifiable discrimination against aliens in the enactment of welfare programs is so great, in view of their complete lack of representation in the political process, that this federal statute should be tested under the same pledge of equal protection as a state statute. So tested, the court concluded that the statute was invalid because it was not both rationally based and free from invidious discrimination. It rejected the desire to preserve the fiscal integrity of the program, or to treat some aliens as less deserving than others, as adequate justification for the statute. Accordingly, the court enjoined the Secretary from refusing to enroll members of the class and subclass represented by appellees.</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Secretary appealed directly to this Court. We noted probable jurisdiction. Weinberger v. Diaz, 416 U.S. 980. After hearing argument last Term, we set the case for reargument. 420 U.S. 959. We now consider (1) whether the District Court had jurisdiction over Espinosa’s claim; (2) whether Congress may discriminate in favor of citizens and against aliens in providing welfare benefits; and (3) if so, whether the specific discriminatory provisions in 1395o(2)(B) are constitutional.</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II</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There are literally millions of aliens within the jurisdiction of the United States. The Fifth Amendment, as well as the Fourteenth Amendment, protects every one of these persons from deprivation of life, liberty, or property without due process of law. Wong Yang Sung v. McGrath, 339 U.S. 33, 48-51; Wong Wing v. United States, 163 U.S. 228, 238; see Russian Fleet v. United States, 282 U.S. 481, 489. Even one whose presence in this country is unlawful, involuntary, or transitory is entitled to that constitutional protection.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Wong Yang Sung</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supra;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Wong Wing</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supra.</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fact that all persons, aliens and citizens alike, are protected by the Due Process Clause does not lead to the further conclusion that all aliens are entitled to enjoy all the advantages of citizenship or, indeed, to the conclusion that all aliens must be placed in a single homogeneous legal classification. For a host of constitutional and statutory provisions rest on the premise that a legitimate distinction between citizens and aliens may justify attributes and benefits for one class not accorded to the other; and the class of aliens is itself a heterogeneous multitude of persons with a wide-ranging variety of ties to this country.</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the exercise of its broad power over naturalization and immigration, Congress regularly makes rules that would be unacceptable if applied to citizens. The exclusion of aliens and the reservation of the power to deport have no permissible counterpart in the Federal Government’s power to regulate the conduct of its own citizenry. The fact that an Act of Congress treats aliens differently from citizens does not in itself imply that such disparate treatment is “invidious.”</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particular, the fact that Congress has provided some welfare benefits for citizens does not require it to provide like benefits for all aliens. Neither the overnight visitor, the unfriendly agent of a hostile foreign power, the resident diplomat, nor the illegal entrant, can advance even a colorable constitutional claim to a share in the bounty that a conscientious sovereign makes available to its own citizens and some of its guests. The decision to share that bounty with our guests may take into account the character of the relationship between the alien and this country: Congress may decide that as the alien’s tie grows stronger, so does the strength of his claim to an equal share of that munificence.</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real question presented by this case is not whether discrimination between citizens and aliens is permissible; rather, it is whether the statutory discrimination within the class of aliens</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allowing benefits to some aliens but not to others</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is permissible. We turn to that question.</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III</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For reasons long recognized as valid, the responsibility for regulating the relationship between the United States and our alien visitors has been committed to the political branches of the Federal Government. Since decisions in these matters may implicate our relations with foreign powers, and since a wide variety of classifications must be defined in the light of changing political and economic circumstances, such decisions are frequently of a character more appropriate to either the Legislature or the Executive than to the Judiciary. This very case illustrates the need for flexibility in policy choices rather than the rigidity often characteristic of constitutional adjudication. Appellees Diaz and Clara are but two of over 440,000 Cuban refugees who arrived in the United States between 1961 and 1972. And the Cuban parolees are but one of several categories of aliens who have been admitted in order to make a humane response to a natural catastrophe or an international political situation. Any rule of constitutional law that would inhibit the flexibility of the political branches of government to respond to changing world conditions should be adopted only with the greatest caution. The reasons that preclude judicial review of political questions also dictate a narrow standard of review of decisions made by the Congress or the President in the area of immigration and naturalization.</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Since it is obvious that Congress has no constitutional duty to provide all aliens with the welfare benefits provided to citizens, the party challenging the constitutionality of the particular line Congress has drawn has the burden of advancing principled reasoning that will at once invalidate that line and yet tolerate a different line separating some aliens from others. In this case the appellees have challenged two requirements</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first, that the alien be admitted as a permanent resident, and, second, that his residence be of a duration of at least five years. But if these requirements were eliminated, surely Congress would at least require that the alien’s entry be lawful; even then, unless mere transients are to be held constitutionally entitled to benefits, some durational requirement would certainly be appropriate. In short, it is unquestionably reasonable for Congress to make an alien’s eligibility depend on both the character and the duration of his residence. Since neither requirement is wholly irrational, this case essentially involves nothing more than a claim that it would have been more reasonable for Congress to select somewhat different requirements of the same kind.</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We may assume that the five-year line drawn by Congress is longer than necessary to protect the fiscal integrity of the program. We may also assume that unnecessary hardship is incurred by persons just short of qualifying. But it remains true that some line is essential, that any line must produce some harsh and apparently arbitrary consequences, and, of greatest importance, that those who qualify under the test Congress has chosen may reasonably be presumed to have a greater affinity with the United States than those who do not. In short, citizens and those who are most like citizens qualify. Those who are less like citizens do not.</w:t>
      </w:r>
    </w:p>
    <w:p w:rsidR="00000000" w:rsidDel="00000000" w:rsidP="00000000" w:rsidRDefault="00000000" w:rsidRPr="00000000" w14:paraId="00000087">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task of classifying persons for medical benefits, like the task of drawing lines for federal tax purposes, inevitably requires that some persons who have an almost equally strong claim to favored treatment be placed on different sides of the line; the differences between the eligible and the ineligible are differences in degree rather than differences in the character of their respective claims. When this kind of policy choice must be made, we are especially reluctant to question the exercise of congressional judgment. In this case, since appellees have not identified a principled basis for prescribing a different standard than the one selected by Congress, they have, in effect, merely invited us to substitute our judgment for that of Congress in deciding which aliens shall be eligible to participate in the supplementary insurance program on the same conditions as citizens. We decline the invitation.</w:t>
      </w:r>
    </w:p>
    <w:p w:rsidR="00000000" w:rsidDel="00000000" w:rsidP="00000000" w:rsidRDefault="00000000" w:rsidRPr="00000000" w14:paraId="00000088">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480" w:line="278.00000000000006" w:lineRule="auto"/>
        <w:ind w:left="0" w:right="0" w:firstLine="0"/>
        <w:jc w:val="center"/>
        <w:rPr>
          <w:rFonts w:ascii="Palatino" w:cs="Palatino" w:eastAsia="Palatino" w:hAnsi="Palatino"/>
          <w:b w:val="1"/>
          <w:bCs w:val="1"/>
          <w:i w:val="0"/>
          <w:iCs w:val="0"/>
          <w:smallCaps w:val="1"/>
          <w:strike w:val="0"/>
          <w:color w:val="000000"/>
          <w:sz w:val="24"/>
          <w:szCs w:val="24"/>
          <w:u w:val="none"/>
          <w:shd w:fill="auto" w:val="clear"/>
          <w:vertAlign w:val="baseline"/>
        </w:rPr>
      </w:pPr>
      <w:r w:rsidDel="00000000" w:rsidR="00000000" w:rsidRPr="00000000">
        <w:rPr>
          <w:rFonts w:ascii="Palatino" w:cs="Palatino" w:eastAsia="Palatino" w:hAnsi="Palatino"/>
          <w:b w:val="1"/>
          <w:bCs w:val="1"/>
          <w:i w:val="0"/>
          <w:iCs w:val="0"/>
          <w:smallCaps w:val="1"/>
          <w:strike w:val="0"/>
          <w:color w:val="000000"/>
          <w:sz w:val="24"/>
          <w:szCs w:val="24"/>
          <w:u w:val="none"/>
          <w:shd w:fill="auto" w:val="clear"/>
          <w:vertAlign w:val="baseline"/>
          <w:rtl w:val="0"/>
        </w:rPr>
        <w:t xml:space="preserve">NOTES AND QUESTIONS</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From where is the notion of Congress’s plenary power over immigration derived? In this case, the Court notes: “‘any policy toward aliens is vitally and intricately interwoven with contemporaneous policies in regard to the conduct of foreign relations, the war power, and the maintenance of a republican form of government.’” 426 U.S., at 81 n.17. Is this helpful?</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Is there a distinction between the types of legislative acts that affect immigrants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Matthews v. Diaz</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versus those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Fiallo v. Bell</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3.</w:t>
        <w:tab/>
        <w:t xml:space="preserve">The use of plenary power language in the benefits context demonstrates that the Court is willing to defer to Congress’s judgment on immigrant-related matters. In the public benefits area, in 1996, Congress enacted welfare reform and continued to preclude noncitizens</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even refugees</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from benefits that are available to citizens.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See</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Bill Ong Hing,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Don’t Give Me Your Tired, Your Poor: Conflicted Immigrant Stories and Welfare Reform</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33 Harv. Civ. Rights-Civ. Lib. L. Rev. 159 (1998).</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4.</w:t>
        <w:tab/>
        <w:t xml:space="preserve">Should there be a distinction between Congress’s plenary power over immigrants in the admission and deportation context versus its power over immigrants who are in the country lawfully to reside in a manner that is similar to citizens?</w:t>
      </w:r>
    </w:p>
    <w:p w:rsidR="00000000" w:rsidDel="00000000" w:rsidP="00000000" w:rsidRDefault="00000000" w:rsidRPr="00000000" w14:paraId="0000008D">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Elimination of 212(c)</w:t>
      </w:r>
    </w:p>
    <w:p w:rsidR="00000000" w:rsidDel="00000000" w:rsidP="00000000" w:rsidRDefault="00000000" w:rsidRPr="00000000" w14:paraId="00000090">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Bill Ong Hing, Reexamining the Zero-Tolerance Approach to Deporting Aggravated Felons: Restoring Discretionary Waivers and Developing New Tools</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8 Harv. Law &amp; Pol. Rev. 141 (2014)</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1976, the Immigration and Nationality Act did not actually contain a provision that would have explicitly provided relief to a typical lawful permanent resident convicted of a moral turpitude crime, drug offense, or a crime that after 1988 might be regarded as an aggravated felony. The language and application of INA §212(c), however, provided the framework for an interpretation that benefited many aliens:</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Aliens lawfully admitted for permanent residence who temporarily proceeded abroad voluntarily and not under an order of deportation, and who are returning to a lawful unrelinquished domicile of seven consecutive years, may be admitted in the discretion of the Attorney General without regard to the provisions of paragraphs (1) through (25) and paragraph (30) of subsection (a) [which included grounds of exclusion that barred the entry of aliens convicted of serious crimes involving moral turpitude and narcotics offenses].</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essence, INA §212(c) provided a waiver of exclusion for a lawful permanent resident who traveled abroad voluntarily and was attempting to return. The person could be readmitted at the discretion of the attorney general, even if he or she had been convicted of a serious crime that rendered him or her excludable.</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That similar lawful permanent residents convicted of identical crimes would be treated differently only because one had never left the United States after immigrating and the other happened to leave and return after committing the same deportable offense made little sense to the Second Circuit Court of Appeals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Francis v. INS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The latter person would be eligible for the 212(c) waiver, while the former would not under the Board of Immigration Appeals’ (Board) interpretation of the statute. The Second Circuit ruled that the Board’s interpretation violated equal protection, and, therefore, held the waiver applicable to any lawful permanent resident who had resided in the country for at least seven years. Soon thereafter, the Board adopted the Francis decision, dropping the departure requirement for eligibility. The result was that a lawful permanent resident who simply had resided in the United States for seven years could apply for and be granted a waiver under INA §212(c) in deportation proceedings, thereby allowing the person to remain in the United States as a lawful permanent resident. To be granted the waiver, the person had to persuade an immigration judge to exercise favorable discretion.</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In re Marin</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the Board summarized the major factors for immigration judges to consider in Section 212(c) cases, although each case was to be judged “on its own merits.” In general, the immigration judge was required to balance the adverse factors evidencing an alien’s undesirability as a permanent resident with the social and humane considerations presented on his or her behalf to determine whether granting of relief appeared “in the best interests of this country.” In essence, the alien had the burden to show that the positive factors outweighed the negative ones.</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John Wong was one of my clients in this pre-1988 period. I first encountered John when I was a legal services attorney. Because of gang-related crimes and a conviction for the sale of heroin, he was deportable for two crimes involving moral turpitude and separately for his drug conviction.</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John’s path to criminality is not unique. He was born in Hong Kong on March 27, 1956, the fifth of six children. His parents, originally from mainland China, immigrated to Hong Kong after World War II when the Communist Party took over. As tailors, they owned a small business making suits. As such, they were able to acquire property and had the time and money to provide for their children. John’s aunt, however, lived in the United States and soon convinced John’s parents that the United States offered a better future full of opportunity for their children. Thus, they sold their possessions and decided to leave Hong Kong. Through the sponsorship of John’s aunt in the United States, John’s family arrived in San Francisco in 1963, when John was only seven years old. They settled down in San Francisco’s Chinatown, where John’s aunt owned a restaurant. John’s parents worked twelve- to sixteen-hour days in the restaurant, mostly washing dishes. They were grateful for the opportunity to work and earn money, but found themselves too tired to spend much time with their children. Their search for other work was severely limited by their almost nonexistent English (they could not invest any time in learning the language with their scarce resources). Eventually, both of John’s parents were able to use their tailoring skills to obtain employment at a sewing factory and move the family into a two-bedroom apartment. After some time, John’s mother remained in the factory, but John’s father returned to working in the restaurant.</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Life was drastically different in the United States for the Wong family. Because of language barriers resulting in limited job opportunities, the family’s socioeconomic status fell from middle class to low class. Compared to their experience in Hong Kong, supporting the family in the United States was much more difficult for John’s parents. The long working hours kept them from providing regular supervision as John and his siblings faced complicated cultural and economic adjustments. Soon, John’s siblings who were in high school started working part time to help with the family’s finances. John felt a little spoiled as the youngest boy in the family. He enjoyed much unsupervised time to do whatever he wanted. In grade school, he found companionship and understanding with neighborhood children who shared a similar background. Like John, the other immigrant children also faced cultural and identity conflicts. John thought it would be easy to adjust to his new surroundings, but it turned out to be much more difficult than he had imagined. He had trouble learning English and did not have much support for his academics. His parents had no time to help him in school and did not know about tutoring. At school, the American-born Chinese (ABCs) children would pick on the foreign-born kids. As early as kindergarten, John assumed a tough persona in response to bad treatment from the ABC kids. This created further incentive for John to hang out with children more like him. He performed satisfactorily in school but would get into frequent fights with the ABCs. These fights were not very serious, but they affected the formation of future relationships, evolving into two groups that did not get along. John did not view the rivalries as a function of class or race, but simply the way things were in the neighborhood in which he grew up.</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With little supervision and a group of friends who were struggling to fit in, John gradually lost interest in school. On a typical day, he would go to school only to meet friends and cut classes. They started stealing from local stores for fun. John did not have a sense that what he was doing was wrong or illegal; he just saw that he could obtain free things simply by putting them in his pocket. Because his parents could hardly afford to give him any spending money, this became an easy and exciting way to get the small things he wanted. In time, stealing allowed him to maintain a lifestyle he could not afford otherwise. By selling what he stole, John made enough money to party, go out for dinner, and drink with his friends. Smoking, drinking, and fighting became a regular occurrence in the neighborhood and John was caught participating in these activities several times. He started hanging out with his friends more often; cutting classes in high school became the norm. When John first started getting in trouble, his parents would hit him. It soon became clear that they could not control him, however, and they decided to allow the authorities take John to a boys’ home in Palm Springs after he was sent to juvenile hall. This facility housed more than one hundred boys and was structured like a hotel. During his year there, John was driven to school and taken on field trips. However, he missed his parents and thought he would do better from then on. Unfortunately, this commitment at that time was short-lived, and John ended up in juvenile hall a total of seven times by the time he reached the age of eighteen.</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Although John’s juvenile hall sanctions mostly were for stealing, he also got in trouble for fighting. He and his friends often brawled with groups of older kids. One day, when John actually was not involved in a fight that he witnessed, a policeman chased him into an alley, where John tripped on his baggy pants. The policeman proceeded to beat him before taking him to juvenile hall. John served six months for this “offense.” During this time, he felt angry that he had been beaten and could not do anything about it. His hatred grew because he felt he had been apprehended for no reason. There was no remorse. John grew determined to be tougher once he got out.</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other kids in juvenile hall were of different races and bigger than John. John was forced to stand up for himself because he was constantly picked on by these larger kids. Juvenile hall was similar to a dormitory with many levels. Assignments were made on the basis of a detainee’s behavior. John spent time on every level. The counselors used methods John did not expect: They tacitly condoned fighting to resolve differences and passed out illegal cigarettes as a reward for good behavior. By the time he was released, John was tougher and less adjusted to life on the outside. Though John never joined one of the neighborhood’s gangs, he continued low-level criminal behavior. He was convicted of armed robbery at the age of nineteen and incarcerated for three years.</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According to John, “If you’re not a criminal and you’re sent to state prison, you become a criminal.” As a young person, an Asian, and a relatively minor offender, John found himself isolated in a maximum security prison. Hardened by his experiences, though, John held his own as a “tough guy.” No matter how tough he tried to be, John still knew he needed to ally himself with a group. With the Asians, he made friends who would watch his back even as he did the same for them. At the same time, these friends exposed John to drugs. Each racial or ethnic group had a representative who would organize the group and negotiate to provide whatever the group needed. By way of this organization, many drugs and much money flowed through the prison. Though the Asians did not have as much of a problem with other groups, where there were drugs, there was violence. John was involved in several fights and spent much of his time in lockdowns and solitary confinement. Eventually, he learned to avoid the fighting and after serving three years in state prison, he paroled for good behavior to San Jose, California.</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John spent six months at a halfway house, which he considered a rehabilitation period, and was required to report back periodically. If he violated any regulation, he would be sent back to jail. He remained drug free and crime free at this time. He received training in electronics and landed a job at General Electric. Soon he was able to move out of the halfway house and rent an apartment in San Jose. He enjoyed the taste of freedom. Because his family and friends remained fifty miles away in San Francisco, John started commuting frequently and visiting his girlfriend. John grew bored of working and tired of commuting from San Jose to San Francisco to see his girlfriend. He knew that moving back to his old neighborhood would tempt him to return to his old habits, but he missed the support of his family and friends. After his parole ended, John quit his job with General Electric and returned to San Francisco. Back in his old neighborhood, he reverted to hanging out with old friends, using drugs, and getting into fights. John left prison with a drug addiction and more prone to criminal behavior. Accustomed to someone supervising his every action in prison, he was unable to handle his freedom. As he slipped and could not afford drugs with his salary, he quit his construction job and started distributing drugs for a dealer to earn money. As a middle man, he often did not even look to see what was in the bags. On one such occasion, he was to deliver a brown paper bag to a hotel and pick up a piece of luggage in exchange. Instead, he was caught and arrested.</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1979, just two years after being released from prison, John was sentenced to two years in federal prison for possession with intent to distribute heroin. Unlike in state prison, in federal prison, John was in the company of many non-violent white collar criminals whose influence lead him to reconsider his life trajectory. He completed his GED while serving time and also attended a drug rehabilitation program. This program tested him for drugs regularly. An important byproduct of this program was that it acted as a minimum security area, where John was able to meet “a lot of good people.” One was a seventy-three-year-old man who became a friend and mentor. This man, an Asian minister, taught John to value his life and the life of others. This great influence on how John viewed himself and the world helped him see the importance of self-discipline. Unfortunately, John learned of his mother’s death while he was still in federal prison. This caused him to feel great remorse for what he had done and how he had missed being with those he loved. “It hurt me a lot. I [would always] return [from jail] badder and badder.” Upon release in 1981, John, now age twenty-five, decided to do things right.</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John’s resolve to stay out of trouble was strengthened further by his new role as a husband (he had married his girlfriend right before going to federal prison). John struggled to find a job due to his criminal record. Finally, he applied to a job in city hall, where an old friend helped him secure a job as a clerk for minimum wage. Because the job was only temporary, John continued to apply to all the jobs he could. After a year of working as a clerk, he applied and was accepted into a program for mechanic assistant because of his electronics training. This two-year training program prepared him to work for the municipal railway service of San Francisco. Though John found it difficult to maintain a “clean” life, he persevered for himself and his family. He had come to see that he had a lot to lose, and he did not want to take that chance anymore.</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Although John’s life appeared to be on track, he still faced a final obstacle. Because of his past criminal activity, the Immigration and Naturalization Service (INS) instituted deportation proceedings. John never thought he would have problems with immigration. He had been in the United States for more than twenty-five years, and thought he had paid for his crimes through serving time in prison. “I did my time, I don’t deserve getting deported.”</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This was the context in which John Wong’s deportation hearing was held. John was clearly deportable because his drug conviction was a matter of record. However, given John’s eligibility for Section 212(c) relief, the immigration judge was tasked with weighing the equities against the serious drug offense as well as the armed robbery conviction that was incurred when John was an adult. Since his initial immigration to the United States at the age of seven, John had never returned to Hong Kong. He knew no relatives or friends in Asia and would have an extremely difficult time adjusting to life in Hon Kong. His life, his home, his work, and family were in the United States. John had become the sole provider and caretaker of his elderly father. He was married with children. Dozens of letters supporting John came into evidence from friends, family, supervisors, coworkers, his parole officer, and a court-appointed psychologist. In the end, John Wong was granted 212(c) relief by an immigration judge who weighed evidence of John’s rehabilitation and the likely hardship to himself and his family that would result from his deportation. He was given a second chance to establish a law-abiding life in the United States.</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That was in 1985. John stayed out of trouble. Years later, he also applied and became a naturalized citizen. He continues to live in San Francisco and has worked with the local transit authority for forty years. He is married and has three daughters. His children are his inspiration</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he is clean from all drugs and works daily to keep his life on track. Both he and his wife decided she would stay at home to raise the children because John understood the importance of proper parental supervision. John is eternally grateful for the help he received and the second chance he was given.</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However, [in 1996, reform debates over Illegal Immigrant Reform and Responsibility Act (IIRIRA)] focused heavily on the idea of immigrant criminality by increasing categories of deportation and “streamlining the removal process.” Prominent Republican Senator Orrin Hatch (R-UT) argued, “We can no longer afford to allow our borders to be just overrun by illegal aliens.. . .Frankly, a lot of our criminality in this country today happens to be coming from criminal, illegal aliens who are ripping our country apart. A lot of the drugs are coming from these people.” This conflation of “illegal alien” with pervasive crime was sufficient to affect the treatment of all criminal aliens</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even those who were in fact long-term, lawful permanent residents, leading to restrictions on deportation relief for aggravated felons regardless of immigration status.</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As a result, IIRIRA eliminated Section 212(c)’s second-chance relief as it had been applied for twenty years. In its place, a cancellation of removal provision was added that precluded the possibility of relief for many who had been able to seek discretionary relief from an immigration judge under the prior provision. The new provision, INA §240A(a), permits the attorney general to “cancel removal” only for certain aliens who commit crimes if the alien (1) has been a lawful permanent resident for at least five years, (2) has resided in the United States continuously for seven years after having been admitted in any status, and, most significantly, (3) has not been convicted of any aggravated felony. The aggravated felony bar, thus, eliminated relief for many lawful resident aliens who would have been eligible for Section 212(c) relief. The aggravated felony category, that began as additional grounds for crime-based deportation, became a convenient marker for who should not be eligible for discretionary relief.</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contrast with John Wong, who benefitted from the pre-1996 framework, consider these individuals, who have been ordered deported.]</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Lundy Khoy</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Lundy Khoy is facing deportation because of the U.S. zero-tolerance policy toward aggravated felons. Lundy was born in a Thai refugee camp after her parents fled the genocide in Cambodia. When she was one-year-old, she and her family came to the United States as refugees. Lundy and her parents were granted lawful permanent residence status when Lundy was in kindergarten, but they never filed for citizenship through naturalization because of the expense. In 2000, when Lundy was a 19-year-old freshman at George Mason University, she was stopped by a bicycle cop who asked if she had any drugs. She answered honestly and told the officer that she had seven tabs of ecstasy, but that they were not all for her. She was arrested for possession with intent to distribute. On the advice of her lawyer, she pled guilty, to spare her family the expense and embarrassment of a trial. She was sentenced to five years in prison.</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Although Lundy was released and placed on probation after serving only a few months in prison, her conviction is an aggravated felony for deportation purposes. In the spring of 2004, Lundy arrived at a regularly scheduled probation appointment to show off her college report card. When she stepped inside the office, she was greeted by her probation officer</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and Immigrations and Customs Enforcement agents who were targeting removable agents on active probation. She was instructed to hand over possessions and stand spread eagle against the wall, then handcuffed and transported her to Hampton Roads Regional Jail in Portsmouth, Virginia. Given her aggravated felony conviction, an immigration judge ordered Lundy deported without hearing evidence of her childhood in the United States, current family situation, her educational pursuits, and her perfect cooperation during her probation. Lunch remained in ICE custody for nine months, while the United States attempted to deport her to Cambodia. However, only because</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Cambodia is taking its time in issuing travel documents for Lundy, ICE has released her pending the documents.</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Now in her early 30s, Lundy is trying to lead a normal life as she awaits her fate. Having been born in a Thai refugee camp and lived in the United States since the age of one, she finds it hard to imagine being removed to Cambodia, a country with which she has no familiarity or family ties; all her relatives live here. She is now trying to complete her bachelor’s degree, works full-time as a college enrollment counselor, and volunteers for local charities, including Habitat for Humanity and the Boys and Girls Club. If Lundy had been born in the United States (like her two siblings) or if her parents had become naturalized citizens before Lundy turned 18, she would not be on the deportation list.</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Lundy lives in Washington, DC, a few blocks from her younger sister, Linda, who is only eighteen months younger. The two are inseparable. They grew up sharing a bed and a bedroom, until Lundy started college. Linda is Lundy’s most ardent supporter. The cook together, go out together, laugh together, and cry together; they think of each other as soul mates. They share intimate details about each others’ lives. Linda joins Lundy in speaking out about current deportation policies, and the two are working with community based organizations in Washington, DC, and Philadelphia to seek a legislative solution for those who are in the same shoes as Lundy. When Lundy is feeling depressed or worried, Linda provides emotional support to bring Lundy back from those lows. Linda cannot imagine what her life would be like if Lundy was deported to Cambodia.</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Jonathan Peinado</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Elia Peinado still has fond memories of life in Mexico. Her husband, a photographer and business owner, owned several properties in the province of Durango as well as the home in which the family lived. Along with Elia, they raised their five children with a great deal of care and attention. As a Christian household, they would entertain missionaries as guests, some of whom would tell the family about the United States. These and other friends would often suggest that the family immigrate to the land of which they spoke so highly. Elia’s husband decided to visit and see for himself what life in the United States was like and indeed liked what he saw. After some time, the family started making plans to move, selling their properties and those things they didn’t need. They obtained the necessary legal papers to immigrate and moved as a family to the United States. Jonathan, Elia’s middle child, was only four years old.</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Jonathan was the product of a happy home. He and his siblings received daily biblical lessons. And following high school graduation, Jonathan enrolled at Riverside Baptist College. After two years in the university, Jonathan decided to return home and start working. He enjoyed construction work and became a skilled finish carpenter employed by The Living Center, an organization that specializes in building and remodeling homes and hospitals. At age twenty-one he married and quickly built up an excellent work record.</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Unfortunately, Jonathan’s life took a bad turn. After eight years of marriage, Jonathan discovered that his wife had been unfaithful, and the couple divorced. He suffered from the separation and eventually started hanging out with the “wrong crowd.” During this difficult time in his life, Jonathan was convicted of second-degree burglary. Elia describes this event as “the incident with the check.” “He took a check to see if he could deposit it for a man. The check was bad and he was charged for being involved,” she says with sadness. Another man, a friend of Jonathan’s also charged with the crime, was concerned about supporting his six children if he went to prison. Jonathan felt sorry for his friend, so he took the blame for the entire ordeal, and the other man was set free. Jonathan received a two-year stayed sentence.</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“He is such a good person, that sometimes he is dumb,” says Elia, recalling a second conviction her son received. Jonathan became involved with drugs and the people who made them. He allowed some of his friends to use his apartment, not knowing what they needed it for. These friends ended up using the space as a lab for making drugs. Jonathan was caught having the drugs in his home and was advised to admit his guilt to receive a lighter sentence. He did so and was convicted of manufacturing methamphetamine, a drug trafficking conviction.</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After his release from jail, Jonathan strengthened his ties with the community and became president of the Baptist Men’s Brotherhood. He occasionally led the service and Bible study at the Baptist Church where his father had been pastor for more than forty years. Elia sadly remembers, “When Jonathan’s father died of cancer. . .Jonathan took care of everything.” Not only did Jonathan see to the burial arrangements for his father, but he also served as the sole provider for Elia, who suffered from diabetes. Despite the vital role he played in the family, he was placed in removal proceedings a year after he was released from jail. This came as a complete surprise, because no one had ever warned him about the possible repercussions his criminal convictions could have on his immigration status.</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Unlike his entire immediate family who had naturalized and become U.S. citizens, Jonathan never saw the need to do so. He knew only one home, and he thought that because he had been in the United States as a lawful permanent resident for more than forty years that afforded him the rights of any other American. He soon found out this was a tragically false assumption. With his two convictions, Jonathan was ordered removed to Mexico with no consideration of mitigating circumstances. He knew this would be devastating not only to himself, but also to his whole family. He had recently discovered that his oldest sister was diagnosed with lymphoma, and he began taking her on regular trips to the hospital to receive chemotherapy. He took tests to see if he could be a bone marrow donor for his sister. He was deported to Mexico before the test results were received. Before that, he had returned to Mexico only one brief time after moving to the United States.</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Elia wistfully contemplates her family’s situation. “I have a son who was in the air forces [sic] and worked as an engineer. He graduated from UC Berkeley. My husband went to school here [in the United States], learned English, and became a pastor. He went to Golden Gate Seminary. My children went to school. None of them has asked for welfare or been a burden for this country. Jonathan just messed up at one point in his life, and this [deportation] happened.” With the rest of her children either out of the country or with their own families to sustain, Elia no longer has the strong support Jonathan provided. In fact, she lost most of her savings trying to help her son adapt to life in a strange country. She traveled with Jonathan to Tijuana when he was deported to try and help him find a place to live. At first, Jonathan was very homesick as he faced culture shock. He had no idea how things worked in Mexico, and he barely spoke Spanish. He would call home every week and ask how the family was doing, worried his mother would get sick.</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Jonathan has lived in Mexico for a few years now. When he first arrived, he barely had enough money to eat. Through a connection with friends, he was able to obtain employment as an English teacher in Puerto Vallarta. Still, he makes only enough money to pay for a small place to live. He struggles daily to survive, worrying about his mom even as she worries about him. “He should’ve had another chance,” is all Elia can say.</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José Luis Magaña</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José Luis Magaña was only two when his father was able to arrange for the entire family to immigrate to the United States from Mexico. Unable to find work in Mexico, José’s father first came to the United States to find a way to support the family. After years of living apart, José, his mother, and four older brothers were reunited with Mr. Magaña. Over the years, José’s parents and four brothers all naturalized to become U.S. citizens. José also attempted to naturalize but missed his scheduled interview appointment. He never tried again. After all, he had been in the United States since he was two, he barely spoke any Spanish, and he had never been back to Mexico. He had never known a world outside of the United States, so he never expected having to live elsewhere.</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When José was eighteen years old, he heard the tragic news that his little nephew, who was not even two years old, had been accidentally run over and killed. After that, José started losing sleep and feeling depressed. Eventually, he would have “episodes” where he would talk loudly and sometimes angrily with no apparent provocation, but he never physically attacked another person. José was suffering from severe bipolar disorder with manic psychotic features. He was often hospitalized and heavily medicated for weeks following emotionally-charged events.</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 few years later, José was convicted of interference with a flight crew by assault or intimidation, in violation of 49 U.S.C. §46504, for which he received a two-year prison sentence. He had no criminal record prior to this event. Various doctors studied and tested José, submitting their reports to the federal court dealing with what was essentially a hijacking case. These reports showed that the incident occurred while José was in the midst of an emotional crisis, and he was probably insane at the time of the offense. He was acutely psychotic and in an extreme state of mania in which his attitude, thinking, and behavior were all substantially abnormal. One doctor described José as suffering from manic grandiosity and irrational thinking that deprived him of the capacity to appreciate the wrongfulness of his actions under the insanity test. Another doctor observed that José would clearly be considered legally insane under the American Law Institute criteria, which includes the inability to adhere to right, even if the individual knew his actions were wrong. Two psychiatrists indicated that José’s medication helped but did not necessarily prevent him from experiencing his delusions and other symptoms of his mental disorder. He had a great deal of difficulty remembering what happened on the day of the incident as well as what he was thinking and feeling at that time. Despite these reports, José was sentenced to two years imprisonment.</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José’s life came crashing down farther soon after his release from jail. His family eagerly awaited his return home, and they were notified that José would have to reside at a rehabilitation home for six months initially. Instead, when the time came for José to come home, his family was told that he had been transported to Arizona for removal proceedings; his two-year sentence made his crime an aggravated felony, and he would be automatically deported in spite of his legal permanent resident status.</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Today, José lives in an apartment by himself in the Mexican province of Michoacan</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 place he has not called home for 30 years, focusing all of his energies on surviving. His family sends him the money they can spare. Although he has access to medicine and seems to be doing well emotionally, they worry about the next time his depression triggers uncontrollable episodes. They can no longer be by his side.</w:t>
      </w:r>
    </w:p>
    <w:p w:rsidR="00000000" w:rsidDel="00000000" w:rsidP="00000000" w:rsidRDefault="00000000" w:rsidRPr="00000000" w14:paraId="000000C2">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Obviously, John Wong should be proud of his accomplishments and how he turned his life around. John got a second chance, and as a society, we should be proud that we gave him that second chance to turn his life around. The number of criminal alien deportation cases</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like all deportations</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has risen since 1996. DHS does not specify the number who were aggravated felons, but of almost 400,000 aliens removed in 2011, close to 190,000 were criminals. In contrast in 1995, only 31,631 of the 50,873 aliens removed were criminals. After Congress eliminated the second chance opportunities in 1996 for others like John, we can only wonder what those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like Jonathan Peinado and José Luis Magaña</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who have been foreclosed of the opportunity would have been able to accomplish with a second chance of their own. We have a glimpse of what Lundy Khoy would accomplish with a second chance, as she continues working as a college counselor, pursuing her degree, and engaging in volunteer work. Instead, she awaits a deportation notice, foreclosed of an opportunity to plead for a second chance.</w:t>
      </w:r>
    </w:p>
    <w:p w:rsidR="00000000" w:rsidDel="00000000" w:rsidP="00000000" w:rsidRDefault="00000000" w:rsidRPr="00000000" w14:paraId="000000C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 w:name="Palatino">
    <w:altName w:val="Book Antiqua"/>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196646"/>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196646"/>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196646"/>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196646"/>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196646"/>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196646"/>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196646"/>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196646"/>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196646"/>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196646"/>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196646"/>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196646"/>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196646"/>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196646"/>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196646"/>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196646"/>
    <w:rPr>
      <w:i w:val="1"/>
      <w:iCs w:val="1"/>
      <w:color w:val="404040" w:themeColor="text1" w:themeTint="0000BF"/>
    </w:rPr>
  </w:style>
  <w:style w:type="paragraph" w:styleId="ListParagraph">
    <w:name w:val="List Paragraph"/>
    <w:basedOn w:val="Normal"/>
    <w:uiPriority w:val="34"/>
    <w:qFormat w:val="1"/>
    <w:rsid w:val="00196646"/>
    <w:pPr>
      <w:ind w:left="720"/>
      <w:contextualSpacing w:val="1"/>
    </w:pPr>
  </w:style>
  <w:style w:type="character" w:styleId="IntenseEmphasis">
    <w:name w:val="Intense Emphasis"/>
    <w:basedOn w:val="DefaultParagraphFont"/>
    <w:uiPriority w:val="21"/>
    <w:qFormat w:val="1"/>
    <w:rsid w:val="00196646"/>
    <w:rPr>
      <w:i w:val="1"/>
      <w:iCs w:val="1"/>
      <w:color w:val="0f4761" w:themeColor="accent1" w:themeShade="0000BF"/>
    </w:rPr>
  </w:style>
  <w:style w:type="paragraph" w:styleId="IntenseQuote">
    <w:name w:val="Intense Quote"/>
    <w:basedOn w:val="Normal"/>
    <w:next w:val="Normal"/>
    <w:link w:val="IntenseQuoteChar"/>
    <w:uiPriority w:val="30"/>
    <w:qFormat w:val="1"/>
    <w:rsid w:val="00196646"/>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196646"/>
    <w:rPr>
      <w:i w:val="1"/>
      <w:iCs w:val="1"/>
      <w:color w:val="0f4761" w:themeColor="accent1" w:themeShade="0000BF"/>
    </w:rPr>
  </w:style>
  <w:style w:type="character" w:styleId="IntenseReference">
    <w:name w:val="Intense Reference"/>
    <w:basedOn w:val="DefaultParagraphFont"/>
    <w:uiPriority w:val="32"/>
    <w:qFormat w:val="1"/>
    <w:rsid w:val="00196646"/>
    <w:rPr>
      <w:b w:val="1"/>
      <w:bCs w:val="1"/>
      <w:smallCaps w:val="1"/>
      <w:color w:val="0f4761" w:themeColor="accent1" w:themeShade="0000BF"/>
      <w:spacing w:val="5"/>
    </w:rPr>
  </w:style>
  <w:style w:type="paragraph" w:styleId="TXT" w:customStyle="1">
    <w:name w:val="TXT"/>
    <w:basedOn w:val="Normal"/>
    <w:uiPriority w:val="99"/>
    <w:rsid w:val="00196646"/>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paragraph" w:styleId="EXT" w:customStyle="1">
    <w:name w:val="EXT"/>
    <w:basedOn w:val="Normal"/>
    <w:uiPriority w:val="99"/>
    <w:rsid w:val="00196646"/>
    <w:pPr>
      <w:widowControl w:val="0"/>
      <w:tabs>
        <w:tab w:val="left" w:pos="600"/>
      </w:tabs>
      <w:suppressAutoHyphens w:val="1"/>
      <w:autoSpaceDE w:val="0"/>
      <w:autoSpaceDN w:val="0"/>
      <w:adjustRightInd w:val="0"/>
      <w:spacing w:after="120" w:before="12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paragraph" w:styleId="CASEH2" w:customStyle="1">
    <w:name w:val="CASE_H2"/>
    <w:basedOn w:val="Normal"/>
    <w:uiPriority w:val="99"/>
    <w:rsid w:val="00196646"/>
    <w:pPr>
      <w:widowControl w:val="0"/>
      <w:tabs>
        <w:tab w:val="left" w:pos="300"/>
      </w:tabs>
      <w:suppressAutoHyphens w:val="1"/>
      <w:autoSpaceDE w:val="0"/>
      <w:autoSpaceDN w:val="0"/>
      <w:adjustRightInd w:val="0"/>
      <w:spacing w:after="180" w:line="220" w:lineRule="atLeast"/>
      <w:jc w:val="center"/>
      <w:textAlignment w:val="center"/>
    </w:pPr>
    <w:rPr>
      <w:rFonts w:ascii="MyriadPro-Regular" w:cs="MyriadPro-Regular" w:hAnsi="MyriadPro-Regular" w:eastAsiaTheme="minorEastAsia"/>
      <w:color w:val="a73439"/>
      <w:kern w:val="0"/>
      <w:sz w:val="19"/>
      <w:szCs w:val="19"/>
      <w:lang w:eastAsia="en-IN"/>
    </w:rPr>
  </w:style>
  <w:style w:type="paragraph" w:styleId="CASEH4" w:customStyle="1">
    <w:name w:val="CASE_H4"/>
    <w:basedOn w:val="Normal"/>
    <w:uiPriority w:val="99"/>
    <w:rsid w:val="00196646"/>
    <w:pPr>
      <w:widowControl w:val="0"/>
      <w:tabs>
        <w:tab w:val="left" w:pos="300"/>
      </w:tabs>
      <w:suppressAutoHyphens w:val="1"/>
      <w:autoSpaceDE w:val="0"/>
      <w:autoSpaceDN w:val="0"/>
      <w:adjustRightInd w:val="0"/>
      <w:spacing w:after="120" w:before="180" w:line="260" w:lineRule="atLeast"/>
      <w:jc w:val="center"/>
      <w:textAlignment w:val="center"/>
    </w:pPr>
    <w:rPr>
      <w:rFonts w:ascii="PalatinoLTStd-Bold" w:cs="PalatinoLTStd-Bold" w:hAnsi="PalatinoLTStd-Bold" w:eastAsiaTheme="minorEastAsia"/>
      <w:b w:val="1"/>
      <w:bCs w:val="1"/>
      <w:color w:val="000000"/>
      <w:kern w:val="0"/>
      <w:sz w:val="22"/>
      <w:szCs w:val="22"/>
      <w:lang w:eastAsia="en-IN"/>
    </w:rPr>
  </w:style>
  <w:style w:type="paragraph" w:styleId="CASETXT" w:customStyle="1">
    <w:name w:val="CASE_TXT"/>
    <w:basedOn w:val="Normal"/>
    <w:uiPriority w:val="99"/>
    <w:rsid w:val="00196646"/>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paragraph" w:styleId="CASEH1recto" w:customStyle="1">
    <w:name w:val="CASE_H1_recto"/>
    <w:basedOn w:val="Normal"/>
    <w:uiPriority w:val="99"/>
    <w:rsid w:val="00196646"/>
    <w:pPr>
      <w:widowControl w:val="0"/>
      <w:pBdr>
        <w:top w:color="a73439" w:space="28" w:sz="4" w:val="single"/>
      </w:pBdr>
      <w:tabs>
        <w:tab w:val="left" w:pos="300"/>
      </w:tabs>
      <w:suppressAutoHyphens w:val="1"/>
      <w:autoSpaceDE w:val="0"/>
      <w:autoSpaceDN w:val="0"/>
      <w:adjustRightInd w:val="0"/>
      <w:spacing w:after="0" w:before="480" w:line="280" w:lineRule="atLeast"/>
      <w:jc w:val="center"/>
      <w:textAlignment w:val="center"/>
    </w:pPr>
    <w:rPr>
      <w:rFonts w:ascii="PalatinoLTStd-MediumItalic" w:cs="PalatinoLTStd-MediumItalic" w:hAnsi="PalatinoLTStd-MediumItalic" w:eastAsiaTheme="minorEastAsia"/>
      <w:i w:val="1"/>
      <w:iCs w:val="1"/>
      <w:color w:val="a73439"/>
      <w:kern w:val="0"/>
      <w:sz w:val="25"/>
      <w:szCs w:val="25"/>
      <w:lang w:eastAsia="en-IN"/>
    </w:rPr>
  </w:style>
  <w:style w:type="paragraph" w:styleId="CASETXNIruleverso" w:customStyle="1">
    <w:name w:val="CASE_TXNI_rule_verso"/>
    <w:basedOn w:val="Normal"/>
    <w:uiPriority w:val="99"/>
    <w:rsid w:val="00196646"/>
    <w:pPr>
      <w:widowControl w:val="0"/>
      <w:pBdr>
        <w:bottom w:color="auto" w:space="0" w:sz="8" w:val="single"/>
      </w:pBdr>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CASETXNI" w:customStyle="1">
    <w:name w:val="CASE_TXNI"/>
    <w:basedOn w:val="Normal"/>
    <w:uiPriority w:val="99"/>
    <w:rsid w:val="00196646"/>
    <w:pPr>
      <w:widowControl w:val="0"/>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NEPQH1" w:customStyle="1">
    <w:name w:val="NEPQ_H1"/>
    <w:basedOn w:val="Normal"/>
    <w:uiPriority w:val="99"/>
    <w:rsid w:val="00196646"/>
    <w:pPr>
      <w:keepNext w:val="1"/>
      <w:keepLines w:val="1"/>
      <w:widowControl w:val="0"/>
      <w:tabs>
        <w:tab w:val="left" w:pos="300"/>
      </w:tabs>
      <w:suppressAutoHyphens w:val="1"/>
      <w:autoSpaceDE w:val="0"/>
      <w:autoSpaceDN w:val="0"/>
      <w:adjustRightInd w:val="0"/>
      <w:spacing w:after="120" w:before="480" w:line="260" w:lineRule="atLeast"/>
      <w:jc w:val="center"/>
      <w:textAlignment w:val="center"/>
    </w:pPr>
    <w:rPr>
      <w:rFonts w:ascii="PalatinoLTStd-Bold" w:cs="PalatinoLTStd-Bold" w:hAnsi="PalatinoLTStd-Bold" w:eastAsiaTheme="minorEastAsia"/>
      <w:b w:val="1"/>
      <w:bCs w:val="1"/>
      <w:caps w:val="1"/>
      <w:color w:val="a73439"/>
      <w:kern w:val="0"/>
      <w:lang w:eastAsia="en-IN"/>
    </w:rPr>
  </w:style>
  <w:style w:type="paragraph" w:styleId="NEPQNL1mid" w:customStyle="1">
    <w:name w:val="NEPQ_NL1_mid"/>
    <w:basedOn w:val="Normal"/>
    <w:uiPriority w:val="99"/>
    <w:rsid w:val="00196646"/>
    <w:pPr>
      <w:widowControl w:val="0"/>
      <w:tabs>
        <w:tab w:val="right" w:pos="480"/>
      </w:tabs>
      <w:suppressAutoHyphens w:val="1"/>
      <w:autoSpaceDE w:val="0"/>
      <w:autoSpaceDN w:val="0"/>
      <w:adjustRightInd w:val="0"/>
      <w:spacing w:after="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paragraph" w:styleId="BRK2" w:customStyle="1">
    <w:name w:val="BRK2"/>
    <w:basedOn w:val="Normal"/>
    <w:uiPriority w:val="99"/>
    <w:rsid w:val="00196646"/>
    <w:pPr>
      <w:widowControl w:val="0"/>
      <w:tabs>
        <w:tab w:val="left" w:pos="300"/>
      </w:tabs>
      <w:suppressAutoHyphens w:val="1"/>
      <w:autoSpaceDE w:val="0"/>
      <w:autoSpaceDN w:val="0"/>
      <w:adjustRightInd w:val="0"/>
      <w:spacing w:after="120" w:before="120" w:line="260" w:lineRule="atLeast"/>
      <w:jc w:val="center"/>
      <w:textAlignment w:val="center"/>
    </w:pPr>
    <w:rPr>
      <w:rFonts w:ascii="PalatinoLTStd-Roman" w:cs="PalatinoLTStd-Roman" w:hAnsi="PalatinoLTStd-Roman" w:eastAsiaTheme="minorEastAsia"/>
      <w:color w:val="a73439"/>
      <w:kern w:val="0"/>
      <w:sz w:val="21"/>
      <w:szCs w:val="21"/>
      <w:lang w:eastAsia="en-IN"/>
    </w:rPr>
  </w:style>
  <w:style w:type="paragraph" w:styleId="NEPQNL1last" w:customStyle="1">
    <w:name w:val="NEPQ_NL1_last"/>
    <w:basedOn w:val="Normal"/>
    <w:uiPriority w:val="99"/>
    <w:rsid w:val="00196646"/>
    <w:pPr>
      <w:widowControl w:val="0"/>
      <w:tabs>
        <w:tab w:val="right" w:pos="480"/>
      </w:tabs>
      <w:suppressAutoHyphens w:val="1"/>
      <w:autoSpaceDE w:val="0"/>
      <w:autoSpaceDN w:val="0"/>
      <w:adjustRightInd w:val="0"/>
      <w:spacing w:after="12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character" w:styleId="x" w:customStyle="1">
    <w:name w:val="x"/>
    <w:uiPriority w:val="99"/>
    <w:rsid w:val="00196646"/>
    <w:rPr>
      <w:color w:val="000000"/>
      <w:w w:val="100"/>
    </w:rPr>
  </w:style>
  <w:style w:type="character" w:styleId="NEPQNL1" w:customStyle="1">
    <w:name w:val="NEPQ_NL1"/>
    <w:uiPriority w:val="99"/>
    <w:rsid w:val="00196646"/>
    <w:rPr>
      <w:rFonts w:ascii="PalatinoLTStd-Roman" w:hAnsi="PalatinoLTStd-Roman"/>
      <w:color w:val="000000"/>
      <w:w w:val="100"/>
      <w:lang w:eastAsia="x-none" w:val="en-US"/>
    </w:rPr>
  </w:style>
  <w:style w:type="paragraph" w:styleId="H1" w:customStyle="1">
    <w:name w:val="H1"/>
    <w:basedOn w:val="Normal"/>
    <w:uiPriority w:val="99"/>
    <w:rsid w:val="00610E41"/>
    <w:pPr>
      <w:keepNext w:val="1"/>
      <w:keepLines w:val="1"/>
      <w:widowControl w:val="0"/>
      <w:pBdr>
        <w:bottom w:color="auto" w:space="0" w:sz="8" w:val="single"/>
      </w:pBdr>
      <w:suppressAutoHyphens w:val="1"/>
      <w:autoSpaceDE w:val="0"/>
      <w:autoSpaceDN w:val="0"/>
      <w:adjustRightInd w:val="0"/>
      <w:spacing w:after="240" w:before="420" w:line="280" w:lineRule="atLeast"/>
      <w:ind w:left="360" w:hanging="360"/>
      <w:textAlignment w:val="center"/>
    </w:pPr>
    <w:rPr>
      <w:rFonts w:ascii="PalatinoLTStd-Medium" w:cs="PalatinoLTStd-Medium" w:hAnsi="PalatinoLTStd-Medium" w:eastAsiaTheme="minorEastAsia"/>
      <w:caps w:val="1"/>
      <w:color w:val="a73439"/>
      <w:kern w:val="0"/>
      <w:sz w:val="25"/>
      <w:szCs w:val="25"/>
      <w:lang w:eastAsia="en-IN"/>
    </w:rPr>
  </w:style>
  <w:style w:type="paragraph" w:styleId="TXNI" w:customStyle="1">
    <w:name w:val="TXNI"/>
    <w:basedOn w:val="Normal"/>
    <w:uiPriority w:val="99"/>
    <w:rsid w:val="00610E41"/>
    <w:pPr>
      <w:widowControl w:val="0"/>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CASEH1" w:customStyle="1">
    <w:name w:val="CASE_H1"/>
    <w:basedOn w:val="Normal"/>
    <w:uiPriority w:val="99"/>
    <w:rsid w:val="00610E41"/>
    <w:pPr>
      <w:widowControl w:val="0"/>
      <w:pBdr>
        <w:top w:color="a73439" w:space="28" w:sz="4" w:val="single"/>
      </w:pBdr>
      <w:tabs>
        <w:tab w:val="left" w:pos="300"/>
      </w:tabs>
      <w:suppressAutoHyphens w:val="1"/>
      <w:autoSpaceDE w:val="0"/>
      <w:autoSpaceDN w:val="0"/>
      <w:adjustRightInd w:val="0"/>
      <w:spacing w:after="0" w:before="480" w:line="280" w:lineRule="atLeast"/>
      <w:jc w:val="center"/>
      <w:textAlignment w:val="center"/>
    </w:pPr>
    <w:rPr>
      <w:rFonts w:ascii="PalatinoLTStd-MediumItalic" w:cs="PalatinoLTStd-MediumItalic" w:hAnsi="PalatinoLTStd-MediumItalic" w:eastAsiaTheme="minorEastAsia"/>
      <w:i w:val="1"/>
      <w:iCs w:val="1"/>
      <w:color w:val="a73439"/>
      <w:kern w:val="0"/>
      <w:sz w:val="25"/>
      <w:szCs w:val="25"/>
      <w:lang w:eastAsia="en-IN"/>
    </w:rPr>
  </w:style>
  <w:style w:type="paragraph" w:styleId="CASEH8rulerecto" w:customStyle="1">
    <w:name w:val="CASE_H8_rule_recto"/>
    <w:basedOn w:val="Normal"/>
    <w:uiPriority w:val="99"/>
    <w:rsid w:val="00610E41"/>
    <w:pPr>
      <w:widowControl w:val="0"/>
      <w:pBdr>
        <w:bottom w:color="auto" w:space="0" w:sz="8" w:val="single"/>
      </w:pBdr>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NEPQTXNI" w:customStyle="1">
    <w:name w:val="NEPQ_TXNI"/>
    <w:basedOn w:val="Normal"/>
    <w:uiPriority w:val="99"/>
    <w:rsid w:val="00610E41"/>
    <w:pPr>
      <w:widowControl w:val="0"/>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NEPQNL1first" w:customStyle="1">
    <w:name w:val="NEPQ_NL1_first"/>
    <w:basedOn w:val="Normal"/>
    <w:uiPriority w:val="99"/>
    <w:rsid w:val="00610E41"/>
    <w:pPr>
      <w:widowControl w:val="0"/>
      <w:tabs>
        <w:tab w:val="right" w:pos="480"/>
      </w:tabs>
      <w:suppressAutoHyphens w:val="1"/>
      <w:autoSpaceDE w:val="0"/>
      <w:autoSpaceDN w:val="0"/>
      <w:adjustRightInd w:val="0"/>
      <w:spacing w:after="0" w:before="12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character" w:styleId="ITALIC" w:customStyle="1">
    <w:name w:val="ITALIC"/>
    <w:uiPriority w:val="99"/>
    <w:rsid w:val="00610E41"/>
    <w:rPr>
      <w:i w:val="1"/>
      <w:color w:val="000000"/>
      <w:w w:val="100"/>
      <w:lang w:eastAsia="x-none" w:val="en-US"/>
    </w:rPr>
  </w:style>
  <w:style w:type="character" w:styleId="SC" w:customStyle="1">
    <w:name w:val="SC"/>
    <w:uiPriority w:val="99"/>
    <w:rsid w:val="00DC2740"/>
    <w:rPr>
      <w:smallCaps w:val="1"/>
      <w:color w:val="000000"/>
      <w:w w:val="100"/>
      <w:lang w:eastAsia="x-none" w:val="en-US"/>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smVlF/5TVAjFdFMbQ3DyRwQNHQ==">CgMxLjA4AHIhMTJNNzRGdi1sSXdSRzh6R1VlY1kxN2dLUzdsak1CamFE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D6FAE18D1336714AB9B410BDAC6FD748" ma:contentTypeVersion="12" ma:contentTypeDescription="Create a new document." ma:contentTypeScope="" ma:versionID="c83b5dfa15f4599c18a1a65fce38cb9b">
  <xsd:schema xmlns:xsd="http://www.w3.org/2001/XMLSchema" xmlns:xs="http://www.w3.org/2001/XMLSchema" xmlns:p="http://schemas.microsoft.com/office/2006/metadata/properties" xmlns:ns2="5041eee3-99e3-4b4c-bd80-eccf1ef4b2d3" xmlns:ns3="681b8b6f-1b57-476a-8dd6-80d1d09c59e1" targetNamespace="http://schemas.microsoft.com/office/2006/metadata/properties" ma:root="true" ma:fieldsID="fe9756aa161f4e54be82007aa4ed6a8f" ns2:_="" ns3:_="">
    <xsd:import namespace="5041eee3-99e3-4b4c-bd80-eccf1ef4b2d3"/>
    <xsd:import namespace="681b8b6f-1b57-476a-8dd6-80d1d09c59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1eee3-99e3-4b4c-bd80-eccf1ef4b2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0db18-5969-473e-a474-9ff3e4bd949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81b8b6f-1b57-476a-8dd6-80d1d09c59e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7748d5-3982-4bcf-9b58-1b02aee89c46}" ma:internalName="TaxCatchAll" ma:showField="CatchAllData" ma:web="681b8b6f-1b57-476a-8dd6-80d1d09c59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41eee3-99e3-4b4c-bd80-eccf1ef4b2d3">
      <Terms xmlns="http://schemas.microsoft.com/office/infopath/2007/PartnerControls"/>
    </lcf76f155ced4ddcb4097134ff3c332f>
    <TaxCatchAll xmlns="681b8b6f-1b57-476a-8dd6-80d1d09c59e1"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E87B842-0536-4F88-8938-09CD39903227}"/>
</file>

<file path=customXML/itemProps3.xml><?xml version="1.0" encoding="utf-8"?>
<ds:datastoreItem xmlns:ds="http://schemas.openxmlformats.org/officeDocument/2006/customXml" ds:itemID="{ADF0D849-1A55-41C2-9254-6C5A241DF538}"/>
</file>

<file path=customXML/itemProps4.xml><?xml version="1.0" encoding="utf-8"?>
<ds:datastoreItem xmlns:ds="http://schemas.openxmlformats.org/officeDocument/2006/customXml" ds:itemID="{5E9919C8-82FB-443D-B6D8-D780DC42A198}"/>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Billie SFO</dc:creator>
  <dcterms:created xsi:type="dcterms:W3CDTF">2025-07-28T20:23:00Z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0x010100D6FAE18D1336714AB9B410BDAC6FD748</vt:lpwstr>
  </property>
</Properties>
</file>